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w:t>
      </w:r>
    </w:p>
    <w:p>
      <w:pPr>
        <w:jc w:val="center"/>
        <w:rPr>
          <w:rFonts w:ascii="宋体" w:hAnsi="宋体" w:eastAsia="宋体" w:cs="Arial"/>
          <w:bCs/>
          <w:sz w:val="44"/>
          <w:szCs w:val="44"/>
        </w:rPr>
      </w:pPr>
      <w:r>
        <w:rPr>
          <w:rFonts w:ascii="宋体" w:hAnsi="宋体" w:eastAsia="宋体" w:cs="Arial"/>
          <w:bCs/>
          <w:sz w:val="44"/>
          <w:szCs w:val="44"/>
        </w:rPr>
        <w:t>《中华人民共和国香港特别行政区维护国家</w:t>
      </w:r>
    </w:p>
    <w:p>
      <w:pPr>
        <w:jc w:val="center"/>
        <w:rPr>
          <w:rFonts w:ascii="宋体" w:hAnsi="宋体" w:eastAsia="宋体" w:cs="Arial"/>
          <w:bCs/>
          <w:sz w:val="44"/>
          <w:szCs w:val="44"/>
        </w:rPr>
      </w:pPr>
      <w:r>
        <w:rPr>
          <w:rFonts w:ascii="宋体" w:hAnsi="宋体" w:eastAsia="宋体" w:cs="Arial"/>
          <w:bCs/>
          <w:sz w:val="44"/>
          <w:szCs w:val="44"/>
        </w:rPr>
        <w:t>安全法》第十四条和第四十七条</w:t>
      </w:r>
      <w:r>
        <w:rPr>
          <w:rFonts w:hint="eastAsia" w:ascii="宋体" w:hAnsi="宋体" w:eastAsia="宋体" w:cs="Arial"/>
          <w:bCs/>
          <w:sz w:val="44"/>
          <w:szCs w:val="44"/>
          <w:lang w:val="en-US" w:eastAsia="zh-CN"/>
        </w:rPr>
        <w:t>的</w:t>
      </w:r>
      <w:r>
        <w:rPr>
          <w:rFonts w:ascii="宋体" w:hAnsi="宋体" w:eastAsia="宋体" w:cs="Arial"/>
          <w:bCs/>
          <w:sz w:val="44"/>
          <w:szCs w:val="44"/>
        </w:rPr>
        <w:t>解释</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日第十三届全国人民代表大会常务委员会第三十八次会议通过）</w:t>
      </w:r>
      <w:bookmarkEnd w:id="2"/>
    </w:p>
    <w:p>
      <w:pPr>
        <w:spacing w:line="240" w:lineRule="auto"/>
        <w:ind w:firstLine="0"/>
        <w:jc w:val="both"/>
      </w:pPr>
    </w:p>
    <w:p>
      <w:pPr>
        <w:spacing w:line="240" w:lineRule="auto"/>
        <w:ind w:firstLine="640"/>
        <w:jc w:val="both"/>
      </w:pPr>
      <w:r>
        <w:rPr>
          <w:rFonts w:ascii="仿宋_GB2312" w:hAnsi="仿宋_GB2312" w:eastAsia="仿宋_GB2312" w:cs="仿宋_GB2312"/>
          <w:sz w:val="32"/>
        </w:rPr>
        <w:t>第十三届全国人民代表大会常务委员会第三十八次会议审议了《国务院关于提请解释〈中华人民共和国香港特别行政区维护国家安全法〉有关条款的议案》。国务院的议案是应香港特别行政区行政长官向中央人民政府提交的有关报告提出的。根据《中华人民共和国宪法》第六十七条第四项和《中华人民共和国香港特别行政区维护</w:t>
      </w:r>
      <w:bookmarkStart w:id="3" w:name="_GoBack"/>
      <w:bookmarkEnd w:id="3"/>
      <w:r>
        <w:rPr>
          <w:rFonts w:ascii="仿宋_GB2312" w:hAnsi="仿宋_GB2312" w:eastAsia="仿宋_GB2312" w:cs="仿宋_GB2312"/>
          <w:sz w:val="32"/>
        </w:rPr>
        <w:t>国家安全法》第六十五条的规定，全国人民代表大会常务委员会对《中华人民共和国香港特别行政区维护国家安全法》第十四条和第四十七条规定的含义和适用作如下解释：</w:t>
      </w:r>
    </w:p>
    <w:p>
      <w:pPr>
        <w:spacing w:line="240" w:lineRule="auto"/>
        <w:ind w:firstLine="640"/>
        <w:jc w:val="both"/>
      </w:pPr>
      <w:r>
        <w:rPr>
          <w:rFonts w:ascii="黑体" w:hAnsi="黑体" w:eastAsia="黑体" w:cs="黑体"/>
          <w:sz w:val="32"/>
        </w:rPr>
        <w:t>一</w:t>
      </w:r>
      <w:r>
        <w:rPr>
          <w:rFonts w:hint="eastAsia" w:ascii="黑体" w:hAnsi="黑体" w:eastAsia="黑体" w:cs="黑体"/>
          <w:sz w:val="32"/>
          <w:lang w:eastAsia="zh-CN"/>
        </w:rPr>
        <w:t>、</w:t>
      </w:r>
      <w:r>
        <w:rPr>
          <w:rFonts w:ascii="仿宋_GB2312" w:hAnsi="仿宋_GB2312" w:eastAsia="仿宋_GB2312" w:cs="仿宋_GB2312"/>
          <w:sz w:val="32"/>
        </w:rPr>
        <w:t>根据《中华人民共和国香港特别行政区维护国家安全法》第十四条的规定，香港特别行政区维护国家安全委员会承担香港特别行政区维护国家安全的法定职责，有权对是否涉及国家安全问题作出判断和决定，工作信息不予公开。香港特别行政区维护国家安全委员会作出的决定不受司法复核，具有可执行的法律效力。香港特别行政区任何行政、立法、司法等机构和任何组织、个人均不得干涉香港特别行政区维护国家安全委员会的工作，均应当尊重并执行香港特别行政区维护国家安全委员会的决定。</w:t>
      </w:r>
    </w:p>
    <w:p>
      <w:pPr>
        <w:spacing w:line="240" w:lineRule="auto"/>
        <w:ind w:firstLine="640"/>
        <w:jc w:val="both"/>
      </w:pPr>
      <w:r>
        <w:rPr>
          <w:rFonts w:ascii="黑体" w:hAnsi="黑体" w:eastAsia="黑体" w:cs="黑体"/>
          <w:sz w:val="32"/>
        </w:rPr>
        <w:t>二</w:t>
      </w:r>
      <w:r>
        <w:rPr>
          <w:rFonts w:hint="eastAsia" w:ascii="黑体" w:hAnsi="黑体" w:eastAsia="黑体" w:cs="黑体"/>
          <w:sz w:val="32"/>
          <w:lang w:eastAsia="zh-CN"/>
        </w:rPr>
        <w:t>、</w:t>
      </w:r>
      <w:r>
        <w:rPr>
          <w:rFonts w:ascii="仿宋_GB2312" w:hAnsi="仿宋_GB2312" w:eastAsia="仿宋_GB2312" w:cs="仿宋_GB2312"/>
          <w:sz w:val="32"/>
        </w:rPr>
        <w:t>根据《中华人民共和国香港特别行政区维护国家安全法》第四十七条的规定，香港特别行政区法院在审理危害国家安全犯罪案件中遇有涉及有关行为是否涉及国家安全或者有关证据材料是否涉及国家秘密的认定问题，应当向行政长官提出并取得行政长官就该等问题发出的证明书，上述证明书对法院有约束力。</w:t>
      </w:r>
    </w:p>
    <w:p>
      <w:pPr>
        <w:spacing w:line="240" w:lineRule="auto"/>
        <w:ind w:firstLine="640"/>
        <w:jc w:val="both"/>
      </w:pPr>
      <w:r>
        <w:rPr>
          <w:rFonts w:ascii="黑体" w:hAnsi="黑体" w:eastAsia="黑体" w:cs="黑体"/>
          <w:sz w:val="32"/>
        </w:rPr>
        <w:t>三</w:t>
      </w:r>
      <w:r>
        <w:rPr>
          <w:rFonts w:hint="eastAsia" w:ascii="黑体" w:hAnsi="黑体" w:eastAsia="黑体" w:cs="黑体"/>
          <w:sz w:val="32"/>
          <w:lang w:eastAsia="zh-CN"/>
        </w:rPr>
        <w:t>、</w:t>
      </w:r>
      <w:r>
        <w:rPr>
          <w:rFonts w:ascii="仿宋_GB2312" w:hAnsi="仿宋_GB2312" w:eastAsia="仿宋_GB2312" w:cs="仿宋_GB2312"/>
          <w:sz w:val="32"/>
        </w:rPr>
        <w:t>香港特别行政区行政长官依据《中华人民共和国香港特别行政区维护国家安全法》第十一条的规定于</w:t>
      </w:r>
      <w:r>
        <w:rPr>
          <w:rFonts w:hint="default" w:ascii="Times New Roman" w:hAnsi="Times New Roman" w:eastAsia="仿宋_GB2312" w:cs="Times New Roman"/>
          <w:sz w:val="32"/>
        </w:rPr>
        <w:t>11</w:t>
      </w:r>
      <w:r>
        <w:rPr>
          <w:rFonts w:ascii="仿宋_GB2312" w:hAnsi="仿宋_GB2312" w:eastAsia="仿宋_GB2312" w:cs="仿宋_GB2312"/>
          <w:sz w:val="32"/>
        </w:rPr>
        <w:t>月</w:t>
      </w:r>
      <w:r>
        <w:rPr>
          <w:rFonts w:hint="default" w:ascii="Times New Roman" w:hAnsi="Times New Roman" w:eastAsia="仿宋_GB2312" w:cs="Times New Roman"/>
          <w:sz w:val="32"/>
        </w:rPr>
        <w:t>28</w:t>
      </w:r>
      <w:r>
        <w:rPr>
          <w:rFonts w:ascii="仿宋_GB2312" w:hAnsi="仿宋_GB2312" w:eastAsia="仿宋_GB2312" w:cs="仿宋_GB2312"/>
          <w:sz w:val="32"/>
        </w:rPr>
        <w:t>日向中央人民政府提交的有关报告认为，不具有香港特别行政区全面执业资格的海外律师担任危害国家安全犯罪案件的辩护人或者诉讼代理人可能引发国家安全风险。不具有香港特别行政区全面执业资格的海外律师是否可以担任危害国家安全犯罪案件的辩护人或者诉讼代理人的问题，属于《中华人民共和国香港特别行政区维护国家安全法》第四十七条所规定的需要认定的问题，应当取得行政长官发出的证明书。如香港特别行政区法院没有向行政长官提出并取得行政长官就该等问题发出的证明书，香港特别行政区维护国家安全委员会应当根据《中华人民共和国香港特别行政区维护国家安全法》第十四条的规定履行法定职责，对该等情况和问题作出相关判断和决定。</w:t>
      </w:r>
    </w:p>
    <w:p>
      <w:pPr>
        <w:spacing w:line="240" w:lineRule="auto"/>
        <w:ind w:firstLine="640"/>
        <w:jc w:val="both"/>
      </w:pPr>
      <w:r>
        <w:rPr>
          <w:rFonts w:ascii="仿宋_GB2312" w:hAnsi="仿宋_GB2312" w:eastAsia="仿宋_GB2312" w:cs="仿宋_GB2312"/>
          <w:sz w:val="32"/>
        </w:rPr>
        <w:t>现予公告。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39C6E5E"/>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2022-12-30T14:34:04Z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